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Layout w:type="fixed"/>
        <w:tblCellMar>
          <w:left w:w="15" w:type="dxa"/>
          <w:right w:w="15" w:type="dxa"/>
        </w:tblCellMar>
        <w:tblLook w:val="0000" w:firstRow="0" w:lastRow="0" w:firstColumn="0" w:lastColumn="0" w:noHBand="0" w:noVBand="0"/>
      </w:tblPr>
      <w:tblGrid>
        <w:gridCol w:w="2000"/>
        <w:gridCol w:w="5347"/>
        <w:gridCol w:w="1767"/>
        <w:gridCol w:w="1134"/>
        <w:gridCol w:w="170"/>
      </w:tblGrid>
      <w:tr w:rsidR="00D2170C">
        <w:trPr>
          <w:trHeight w:hRule="exact" w:val="283"/>
        </w:trPr>
        <w:tc>
          <w:tcPr>
            <w:tcW w:w="10248" w:type="dxa"/>
            <w:gridSpan w:val="4"/>
            <w:tcBorders>
              <w:top w:val="nil"/>
              <w:left w:val="nil"/>
              <w:bottom w:val="nil"/>
              <w:right w:val="nil"/>
            </w:tcBorders>
          </w:tcPr>
          <w:p w:rsidR="00D2170C" w:rsidRDefault="00D2170C">
            <w:pPr>
              <w:widowControl w:val="0"/>
              <w:autoSpaceDE w:val="0"/>
              <w:autoSpaceDN w:val="0"/>
              <w:adjustRightInd w:val="0"/>
              <w:spacing w:before="30" w:after="0" w:line="265" w:lineRule="exact"/>
              <w:ind w:left="15"/>
              <w:jc w:val="center"/>
              <w:rPr>
                <w:rFonts w:ascii="Arial" w:hAnsi="Arial" w:cs="Arial"/>
                <w:b/>
                <w:bCs/>
                <w:color w:val="000000"/>
                <w:sz w:val="24"/>
                <w:szCs w:val="24"/>
              </w:rPr>
            </w:pPr>
            <w:r>
              <w:rPr>
                <w:rFonts w:ascii="Arial" w:hAnsi="Arial" w:cs="Arial"/>
                <w:b/>
                <w:bCs/>
                <w:color w:val="000000"/>
                <w:sz w:val="24"/>
                <w:szCs w:val="24"/>
              </w:rPr>
              <w:t xml:space="preserve">ДОГОВОР № 682 </w:t>
            </w:r>
          </w:p>
        </w:tc>
        <w:tc>
          <w:tcPr>
            <w:tcW w:w="170" w:type="dxa"/>
            <w:vMerge w:val="restart"/>
            <w:tcBorders>
              <w:top w:val="nil"/>
              <w:left w:val="nil"/>
              <w:bottom w:val="nil"/>
              <w:right w:val="nil"/>
            </w:tcBorders>
          </w:tcPr>
          <w:p w:rsidR="00D2170C" w:rsidRDefault="00D2170C">
            <w:pPr>
              <w:widowControl w:val="0"/>
              <w:autoSpaceDE w:val="0"/>
              <w:autoSpaceDN w:val="0"/>
              <w:adjustRightInd w:val="0"/>
              <w:spacing w:before="30" w:after="0" w:line="265" w:lineRule="exact"/>
              <w:ind w:left="15"/>
              <w:rPr>
                <w:rFonts w:ascii="MS Sans Serif" w:hAnsi="MS Sans Serif" w:cs="MS Sans Serif"/>
                <w:color w:val="000000"/>
                <w:sz w:val="16"/>
                <w:szCs w:val="16"/>
              </w:rPr>
            </w:pPr>
          </w:p>
        </w:tc>
      </w:tr>
      <w:tr w:rsidR="00D2170C">
        <w:trPr>
          <w:trHeight w:hRule="exact" w:val="57"/>
        </w:trPr>
        <w:tc>
          <w:tcPr>
            <w:tcW w:w="10248" w:type="dxa"/>
            <w:gridSpan w:val="4"/>
            <w:tcBorders>
              <w:top w:val="nil"/>
              <w:left w:val="nil"/>
              <w:bottom w:val="nil"/>
              <w:right w:val="nil"/>
            </w:tcBorders>
          </w:tcPr>
          <w:p w:rsidR="00D2170C" w:rsidRDefault="00D2170C">
            <w:pPr>
              <w:widowControl w:val="0"/>
              <w:autoSpaceDE w:val="0"/>
              <w:autoSpaceDN w:val="0"/>
              <w:adjustRightInd w:val="0"/>
              <w:spacing w:before="30" w:after="0" w:line="265" w:lineRule="exact"/>
              <w:ind w:left="15"/>
              <w:rPr>
                <w:rFonts w:ascii="MS Sans Serif" w:hAnsi="MS Sans Serif" w:cs="MS Sans Serif"/>
                <w:color w:val="000000"/>
                <w:sz w:val="16"/>
                <w:szCs w:val="16"/>
              </w:rPr>
            </w:pPr>
          </w:p>
        </w:tc>
        <w:tc>
          <w:tcPr>
            <w:tcW w:w="170"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3"/>
                <w:szCs w:val="3"/>
              </w:rPr>
            </w:pPr>
          </w:p>
        </w:tc>
      </w:tr>
      <w:tr w:rsidR="00D2170C">
        <w:trPr>
          <w:trHeight w:hRule="exact" w:val="283"/>
        </w:trPr>
        <w:tc>
          <w:tcPr>
            <w:tcW w:w="200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right"/>
              <w:rPr>
                <w:rFonts w:ascii="Times New Roman" w:hAnsi="Times New Roman"/>
                <w:color w:val="000000"/>
                <w:sz w:val="20"/>
                <w:szCs w:val="20"/>
              </w:rPr>
            </w:pPr>
            <w:r>
              <w:rPr>
                <w:rFonts w:ascii="Times New Roman" w:hAnsi="Times New Roman"/>
                <w:color w:val="000000"/>
                <w:sz w:val="20"/>
                <w:szCs w:val="20"/>
              </w:rPr>
              <w:t>г. Глубокое</w:t>
            </w:r>
          </w:p>
        </w:tc>
        <w:tc>
          <w:tcPr>
            <w:tcW w:w="5347" w:type="dxa"/>
            <w:vMerge w:val="restart"/>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c>
          <w:tcPr>
            <w:tcW w:w="1767"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Times New Roman" w:hAnsi="Times New Roman"/>
                <w:color w:val="000000"/>
                <w:sz w:val="20"/>
                <w:szCs w:val="20"/>
              </w:rPr>
            </w:pPr>
            <w:r>
              <w:rPr>
                <w:rFonts w:ascii="Times New Roman" w:hAnsi="Times New Roman"/>
                <w:color w:val="000000"/>
                <w:sz w:val="20"/>
                <w:szCs w:val="20"/>
              </w:rPr>
              <w:t>25 апреля 2022 года</w:t>
            </w:r>
          </w:p>
        </w:tc>
        <w:tc>
          <w:tcPr>
            <w:tcW w:w="1134" w:type="dxa"/>
            <w:vMerge w:val="restart"/>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c>
          <w:tcPr>
            <w:tcW w:w="170"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18"/>
                <w:szCs w:val="18"/>
              </w:rPr>
            </w:pPr>
          </w:p>
        </w:tc>
      </w:tr>
      <w:tr w:rsidR="00D2170C">
        <w:trPr>
          <w:trHeight w:hRule="exact" w:val="57"/>
        </w:trPr>
        <w:tc>
          <w:tcPr>
            <w:tcW w:w="200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c>
          <w:tcPr>
            <w:tcW w:w="5347"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3"/>
                <w:szCs w:val="3"/>
              </w:rPr>
            </w:pPr>
          </w:p>
        </w:tc>
        <w:tc>
          <w:tcPr>
            <w:tcW w:w="1767"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c>
          <w:tcPr>
            <w:tcW w:w="1134"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3"/>
                <w:szCs w:val="3"/>
              </w:rPr>
            </w:pPr>
          </w:p>
        </w:tc>
        <w:tc>
          <w:tcPr>
            <w:tcW w:w="170"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3"/>
                <w:szCs w:val="3"/>
              </w:rPr>
            </w:pPr>
          </w:p>
        </w:tc>
      </w:tr>
      <w:tr w:rsidR="00D2170C">
        <w:trPr>
          <w:trHeight w:hRule="exact" w:val="1170"/>
        </w:trPr>
        <w:tc>
          <w:tcPr>
            <w:tcW w:w="10418" w:type="dxa"/>
            <w:gridSpan w:val="5"/>
            <w:tcBorders>
              <w:top w:val="nil"/>
              <w:left w:val="nil"/>
              <w:bottom w:val="nil"/>
              <w:right w:val="nil"/>
            </w:tcBorders>
          </w:tcPr>
          <w:p w:rsidR="00D2170C" w:rsidRDefault="00D2170C" w:rsidP="00DF78CF">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 xml:space="preserve">Открытое акционерное общество "Глубокский молочноконсервный комбинат"   </w:t>
            </w:r>
            <w:proofErr w:type="spellStart"/>
            <w:r>
              <w:rPr>
                <w:rFonts w:ascii="Times New Roman" w:hAnsi="Times New Roman"/>
                <w:color w:val="000000"/>
                <w:sz w:val="20"/>
                <w:szCs w:val="20"/>
              </w:rPr>
              <w:t>г</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лубокое</w:t>
            </w:r>
            <w:proofErr w:type="spellEnd"/>
            <w:r>
              <w:rPr>
                <w:rFonts w:ascii="Times New Roman" w:hAnsi="Times New Roman"/>
                <w:color w:val="000000"/>
                <w:sz w:val="20"/>
                <w:szCs w:val="20"/>
              </w:rPr>
              <w:t xml:space="preserve"> РБ, именуемое в дальнейшем Поставщик, в лице генерального директора </w:t>
            </w:r>
            <w:r w:rsidR="00DF78CF">
              <w:rPr>
                <w:rFonts w:ascii="Times New Roman" w:hAnsi="Times New Roman"/>
                <w:color w:val="000000"/>
                <w:sz w:val="20"/>
                <w:szCs w:val="20"/>
              </w:rPr>
              <w:t xml:space="preserve">…….. </w:t>
            </w:r>
            <w:r>
              <w:rPr>
                <w:rFonts w:ascii="Times New Roman" w:hAnsi="Times New Roman"/>
                <w:color w:val="000000"/>
                <w:sz w:val="20"/>
                <w:szCs w:val="20"/>
              </w:rPr>
              <w:t>действующ</w:t>
            </w:r>
            <w:r w:rsidR="00DF78CF">
              <w:rPr>
                <w:rFonts w:ascii="Times New Roman" w:hAnsi="Times New Roman"/>
                <w:color w:val="000000"/>
                <w:sz w:val="20"/>
                <w:szCs w:val="20"/>
              </w:rPr>
              <w:t>его на основании доверенности №_</w:t>
            </w:r>
            <w:r>
              <w:rPr>
                <w:rFonts w:ascii="Times New Roman" w:hAnsi="Times New Roman"/>
                <w:color w:val="000000"/>
                <w:sz w:val="20"/>
                <w:szCs w:val="20"/>
              </w:rPr>
              <w:t xml:space="preserve"> от </w:t>
            </w:r>
            <w:r w:rsidR="00DF78CF">
              <w:rPr>
                <w:rFonts w:ascii="Times New Roman" w:hAnsi="Times New Roman"/>
                <w:color w:val="000000"/>
                <w:sz w:val="20"/>
                <w:szCs w:val="20"/>
              </w:rPr>
              <w:t xml:space="preserve">_ </w:t>
            </w:r>
            <w:r>
              <w:rPr>
                <w:rFonts w:ascii="Times New Roman" w:hAnsi="Times New Roman"/>
                <w:color w:val="000000"/>
                <w:sz w:val="20"/>
                <w:szCs w:val="20"/>
              </w:rPr>
              <w:t xml:space="preserve"> 2022 года , и</w:t>
            </w:r>
            <w:r w:rsidR="006C0648">
              <w:rPr>
                <w:rFonts w:ascii="Times New Roman" w:hAnsi="Times New Roman"/>
                <w:color w:val="000000"/>
                <w:sz w:val="20"/>
                <w:szCs w:val="20"/>
              </w:rPr>
              <w:t xml:space="preserve"> </w:t>
            </w:r>
            <w:r w:rsidR="006C0648" w:rsidRPr="006C0648">
              <w:rPr>
                <w:rFonts w:ascii="Times New Roman" w:hAnsi="Times New Roman"/>
                <w:color w:val="FF0000"/>
                <w:sz w:val="20"/>
                <w:szCs w:val="20"/>
              </w:rPr>
              <w:t>(НАЗВАНИЕ)</w:t>
            </w:r>
            <w:r w:rsidRPr="006C0648">
              <w:rPr>
                <w:rFonts w:ascii="Times New Roman" w:hAnsi="Times New Roman"/>
                <w:color w:val="FF0000"/>
                <w:sz w:val="20"/>
                <w:szCs w:val="20"/>
              </w:rPr>
              <w:t>,</w:t>
            </w:r>
            <w:r>
              <w:rPr>
                <w:rFonts w:ascii="Times New Roman" w:hAnsi="Times New Roman"/>
                <w:color w:val="000000"/>
                <w:sz w:val="20"/>
                <w:szCs w:val="20"/>
              </w:rPr>
              <w:t xml:space="preserve"> именуемое в дальнейшем Покупатель, в</w:t>
            </w:r>
            <w:r w:rsidR="000E440E">
              <w:rPr>
                <w:rFonts w:ascii="Times New Roman" w:hAnsi="Times New Roman"/>
                <w:color w:val="000000"/>
                <w:sz w:val="20"/>
                <w:szCs w:val="20"/>
              </w:rPr>
              <w:t xml:space="preserve"> </w:t>
            </w:r>
            <w:r>
              <w:rPr>
                <w:rFonts w:ascii="Times New Roman" w:hAnsi="Times New Roman"/>
                <w:color w:val="000000"/>
                <w:sz w:val="20"/>
                <w:szCs w:val="20"/>
              </w:rPr>
              <w:t xml:space="preserve"> лице</w:t>
            </w:r>
            <w:r w:rsidR="006C0648">
              <w:rPr>
                <w:rFonts w:ascii="Times New Roman" w:hAnsi="Times New Roman"/>
                <w:color w:val="000000"/>
                <w:sz w:val="20"/>
                <w:szCs w:val="20"/>
              </w:rPr>
              <w:t>……………………….</w:t>
            </w:r>
            <w:r>
              <w:rPr>
                <w:rFonts w:ascii="Times New Roman" w:hAnsi="Times New Roman"/>
                <w:color w:val="000000"/>
                <w:sz w:val="20"/>
                <w:szCs w:val="20"/>
              </w:rPr>
              <w:t>действующего на основании Устава , заключили настоящий договор о нижеследующем:</w:t>
            </w:r>
          </w:p>
        </w:tc>
      </w:tr>
      <w:tr w:rsidR="00D2170C">
        <w:trPr>
          <w:trHeight w:hRule="exact" w:val="227"/>
        </w:trPr>
        <w:tc>
          <w:tcPr>
            <w:tcW w:w="10248" w:type="dxa"/>
            <w:gridSpan w:val="4"/>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1. ПРЕДМЕТ ДОГОВОРА.</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964"/>
        </w:trPr>
        <w:tc>
          <w:tcPr>
            <w:tcW w:w="10418" w:type="dxa"/>
            <w:gridSpan w:val="5"/>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 xml:space="preserve">1.1. Поставщик обязуется в течение срока действия настоящего договора поставить, а Покупатель принять и оплатить молочную продукцию (далее - Продукция). </w:t>
            </w:r>
            <w:r>
              <w:rPr>
                <w:rFonts w:ascii="Times New Roman" w:hAnsi="Times New Roman"/>
                <w:color w:val="000000"/>
                <w:sz w:val="20"/>
                <w:szCs w:val="20"/>
              </w:rPr>
              <w:br/>
              <w:t>1.2. Покупатель предоставляет Поставщику должным образом заверенную  копию свидетельства о государственной регистрации.</w:t>
            </w:r>
          </w:p>
        </w:tc>
      </w:tr>
      <w:tr w:rsidR="00D2170C">
        <w:trPr>
          <w:trHeight w:hRule="exact" w:val="227"/>
        </w:trPr>
        <w:tc>
          <w:tcPr>
            <w:tcW w:w="10248" w:type="dxa"/>
            <w:gridSpan w:val="4"/>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2. КОЛИЧЕСТВО, КАЧЕСТВО И УПАКОВКА ПРОДУКЦИИ.</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57"/>
        </w:trPr>
        <w:tc>
          <w:tcPr>
            <w:tcW w:w="10418" w:type="dxa"/>
            <w:gridSpan w:val="5"/>
            <w:vMerge w:val="restart"/>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2.1. Количество и ассортимент подлежащей поставке продукции определяется на основании согласованной сторонами заявки  Покупателя с учетом возможностей Поставщика и указывается в товарно-транспортных накладных.</w:t>
            </w:r>
            <w:r>
              <w:rPr>
                <w:rFonts w:ascii="Times New Roman" w:hAnsi="Times New Roman"/>
                <w:color w:val="000000"/>
                <w:sz w:val="20"/>
                <w:szCs w:val="20"/>
              </w:rPr>
              <w:br/>
              <w:t xml:space="preserve">2.2. Поставляемый товар по своему качеству должен соответствовать требованиям, действующим на территории Евразийского экономического союза и требованиям действующей на него нормативно-технической документации, в том числе СТБ 1100-2016 «Пищевая продукция. Информация для потребителя», СТБ 8019-2002 «Товары фасованные», </w:t>
            </w:r>
            <w:proofErr w:type="gramStart"/>
            <w:r>
              <w:rPr>
                <w:rFonts w:ascii="Times New Roman" w:hAnsi="Times New Roman"/>
                <w:color w:val="000000"/>
                <w:sz w:val="20"/>
                <w:szCs w:val="20"/>
              </w:rPr>
              <w:t>ТР</w:t>
            </w:r>
            <w:proofErr w:type="gramEnd"/>
            <w:r>
              <w:rPr>
                <w:rFonts w:ascii="Times New Roman" w:hAnsi="Times New Roman"/>
                <w:color w:val="000000"/>
                <w:sz w:val="20"/>
                <w:szCs w:val="20"/>
              </w:rPr>
              <w:t xml:space="preserve"> ТС 022/2011 «Пищевая продукция в части её маркировки». Ответственность за соответствие товара требованиям, установленным в технических регламентах Евразийского экономического союза, несет только Поставщик.</w:t>
            </w:r>
            <w:r>
              <w:rPr>
                <w:rFonts w:ascii="Times New Roman" w:hAnsi="Times New Roman"/>
                <w:color w:val="000000"/>
                <w:sz w:val="20"/>
                <w:szCs w:val="20"/>
              </w:rPr>
              <w:br/>
              <w:t>2.3. Поставщик представляет на каждую отгружаемую партию документы изготовителя (производителя), удостоверяющие качество и безопасность поставляемой продукции, сертификат соответствия или декларацию о соответствии либо другие качественные документы в соответствии с действующим законодательством Республики Беларусь.</w:t>
            </w:r>
            <w:r>
              <w:rPr>
                <w:rFonts w:ascii="Times New Roman" w:hAnsi="Times New Roman"/>
                <w:color w:val="000000"/>
                <w:sz w:val="20"/>
                <w:szCs w:val="20"/>
              </w:rPr>
              <w:br/>
              <w:t>2.4. Продукция упаковывается в тару, обеспечивающую ее сохранность при перевозке, транспортировке, погрузо-разгрузочных работах и хранении.</w:t>
            </w:r>
            <w:r>
              <w:rPr>
                <w:rFonts w:ascii="Times New Roman" w:hAnsi="Times New Roman"/>
                <w:color w:val="000000"/>
                <w:sz w:val="20"/>
                <w:szCs w:val="20"/>
              </w:rPr>
              <w:br/>
              <w:t>2.5. Тара и упаковка поставляемой продукции должна соответствовать стандартам Республики Беларусь и гарантировать полную сохранность продукции при транспортировке и погрузо-разгрузочных работах. Продукция может отпускаться в картонной, полиэтиленовой  либо пластиковой упаковке.</w:t>
            </w:r>
            <w:r>
              <w:rPr>
                <w:rFonts w:ascii="Times New Roman" w:hAnsi="Times New Roman"/>
                <w:color w:val="000000"/>
                <w:sz w:val="20"/>
                <w:szCs w:val="20"/>
              </w:rPr>
              <w:br/>
              <w:t>2.6. Приемка продукции производится Покупателем в соответствии с Положением о приемке товаров по количеству и качеству,  утвержденным Постановлением Совета  Министров Республики Беларусь  №1290 от 03.09.2008 г</w:t>
            </w:r>
            <w:r>
              <w:rPr>
                <w:rFonts w:ascii="Times New Roman" w:hAnsi="Times New Roman"/>
                <w:color w:val="000000"/>
                <w:sz w:val="20"/>
                <w:szCs w:val="20"/>
              </w:rPr>
              <w:br/>
              <w:t xml:space="preserve">2.7. При приемке товаров Покупатель (уполномоченный представитель Покупателя) проверяет соответствие товара сведениям, указанным в транспортных и сопроводительных документах, настоящем договоре, прейскуранте цен (протоколе согласования цен) и заявке по наименованию, ассортименту, номенклатуре, количеству и качеству. Факт приемки товара подтверждается печатями и подписями уполномоченных представителей сторон с расшифровкой фамилий и инициалов, а также должностей на сопроводительных документах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товарно-транспортная накладная ). </w:t>
            </w:r>
            <w:r>
              <w:rPr>
                <w:rFonts w:ascii="Times New Roman" w:hAnsi="Times New Roman"/>
                <w:color w:val="000000"/>
                <w:sz w:val="20"/>
                <w:szCs w:val="20"/>
              </w:rPr>
              <w:br/>
              <w:t xml:space="preserve">Товары считаются принятыми по количеству в случае, если количество фактически отгруженного Покупателю товара соответствует   товарно-транспортной  накладной Поставщика. </w:t>
            </w:r>
            <w:r>
              <w:rPr>
                <w:rFonts w:ascii="Times New Roman" w:hAnsi="Times New Roman"/>
                <w:color w:val="000000"/>
                <w:sz w:val="20"/>
                <w:szCs w:val="20"/>
              </w:rPr>
              <w:br/>
              <w:t>2.8. Стоимость невозвратной тары входит в стоимость продукции. В случае использования многооборотной тары по настоящему договору, тара подлежит возврату  не позднее 30 календарных дней со дня отгрузки, возврат тары может быть осуществлен одновременно с поставкой следующей партии.  Порядок и условия возврата согласовывается сторонами дополнительно.</w:t>
            </w:r>
            <w:r>
              <w:rPr>
                <w:rFonts w:ascii="Times New Roman" w:hAnsi="Times New Roman"/>
                <w:color w:val="000000"/>
                <w:sz w:val="20"/>
                <w:szCs w:val="20"/>
              </w:rPr>
              <w:br/>
              <w:t>2.9. На продукцию, поставляемую по настоящему договору и произведенную на территории Республики Беларусь, за исключением случаев, установленных законодательством, должен быть нанесен товарный номер в виде штрихового идентификационного кода. В случае</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если нанесение непосредственно на продукцию товарного номера в виде штрихового кода невозможно, товарный номер должен быть нанесен на потребительскую тару, этикетки, ярлыки такой продукции.</w:t>
            </w:r>
          </w:p>
        </w:tc>
      </w:tr>
      <w:tr w:rsidR="00D2170C">
        <w:trPr>
          <w:trHeight w:hRule="exact" w:val="7998"/>
        </w:trPr>
        <w:tc>
          <w:tcPr>
            <w:tcW w:w="10418" w:type="dxa"/>
            <w:gridSpan w:val="5"/>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20"/>
                <w:szCs w:val="20"/>
              </w:rPr>
            </w:pPr>
          </w:p>
        </w:tc>
      </w:tr>
      <w:tr w:rsidR="00D2170C">
        <w:trPr>
          <w:trHeight w:hRule="exact" w:val="52"/>
        </w:trPr>
        <w:tc>
          <w:tcPr>
            <w:tcW w:w="10418" w:type="dxa"/>
            <w:gridSpan w:val="5"/>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rPr>
                <w:rFonts w:ascii="MS Sans Serif" w:hAnsi="MS Sans Serif" w:cs="MS Sans Serif"/>
                <w:color w:val="000000"/>
                <w:sz w:val="16"/>
                <w:szCs w:val="16"/>
              </w:rPr>
            </w:pPr>
          </w:p>
        </w:tc>
      </w:tr>
      <w:tr w:rsidR="00D2170C">
        <w:trPr>
          <w:trHeight w:hRule="exact" w:val="283"/>
        </w:trPr>
        <w:tc>
          <w:tcPr>
            <w:tcW w:w="10248" w:type="dxa"/>
            <w:gridSpan w:val="4"/>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3. СРОКИ И ПОРЯДОК ПОСТАВКИ.</w:t>
            </w:r>
            <w:r>
              <w:rPr>
                <w:rFonts w:ascii="Times New Roman" w:hAnsi="Times New Roman"/>
                <w:b/>
                <w:bCs/>
                <w:i/>
                <w:iCs/>
                <w:color w:val="000000"/>
                <w:sz w:val="20"/>
                <w:szCs w:val="20"/>
              </w:rPr>
              <w:br/>
              <w:t xml:space="preserve"> </w:t>
            </w:r>
            <w:r>
              <w:rPr>
                <w:rFonts w:ascii="Times New Roman" w:hAnsi="Times New Roman"/>
                <w:b/>
                <w:bCs/>
                <w:i/>
                <w:iCs/>
                <w:color w:val="000000"/>
                <w:sz w:val="20"/>
                <w:szCs w:val="20"/>
              </w:rPr>
              <w:br/>
              <w:t xml:space="preserve"> </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4613"/>
        </w:trPr>
        <w:tc>
          <w:tcPr>
            <w:tcW w:w="10418" w:type="dxa"/>
            <w:gridSpan w:val="5"/>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 xml:space="preserve">3.1. Поставка продукции производится по заявкам Покупателя. Покупатель направляет Поставщику заявку в устном или в письменном виде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по факсу 8 02156 54912, 8 02156 54933, либо по электронной почте info@glmkk.by). Время приема заявок с 8.00 до 17.00 ч., ежедневно, кроме выходных и праздничных дней.</w:t>
            </w:r>
            <w:r>
              <w:rPr>
                <w:rFonts w:ascii="Times New Roman" w:hAnsi="Times New Roman"/>
                <w:color w:val="000000"/>
                <w:sz w:val="20"/>
                <w:szCs w:val="20"/>
              </w:rPr>
              <w:br/>
              <w:t>3.2. Доставка продукции Покупателю осуществляется: транспортом Поставщика на условиях ФСН или Покупателя на условиях ФСО. Конкретные условия поставки согласовываются сторонами дополнительно при каждой поставке, и указываются в товарно-транспортной накладной.</w:t>
            </w:r>
            <w:r>
              <w:rPr>
                <w:rFonts w:ascii="Times New Roman" w:hAnsi="Times New Roman"/>
                <w:color w:val="000000"/>
                <w:sz w:val="20"/>
                <w:szCs w:val="20"/>
              </w:rPr>
              <w:br/>
              <w:t>3.3. Покупатель предварительно согласовывает с Поставщиком день поставки продукции.</w:t>
            </w:r>
            <w:r>
              <w:rPr>
                <w:rFonts w:ascii="Times New Roman" w:hAnsi="Times New Roman"/>
                <w:color w:val="000000"/>
                <w:sz w:val="20"/>
                <w:szCs w:val="20"/>
              </w:rPr>
              <w:br/>
              <w:t>3.4. Транспорт, используемый для перевозки, должен соответствовать действую ветеринарно-санитарным правилам для организаций.</w:t>
            </w:r>
            <w:r>
              <w:rPr>
                <w:rFonts w:ascii="Times New Roman" w:hAnsi="Times New Roman"/>
                <w:color w:val="000000"/>
                <w:sz w:val="20"/>
                <w:szCs w:val="20"/>
              </w:rPr>
              <w:br/>
              <w:t>3.5. Транспорт должен быть технически исправным, чистым, не иметь постороннего запаха, санитарный паспорт с отметкой о санитарной обработке. Транспортные средства без санитарного  паспорта на территорию предприятия не допускаются.</w:t>
            </w:r>
            <w:r>
              <w:rPr>
                <w:rFonts w:ascii="Times New Roman" w:hAnsi="Times New Roman"/>
                <w:color w:val="000000"/>
                <w:sz w:val="20"/>
                <w:szCs w:val="20"/>
              </w:rPr>
              <w:br/>
              <w:t xml:space="preserve">3.6. Перевозчик должен перевозить продукцию транспортным средством </w:t>
            </w:r>
            <w:proofErr w:type="gramStart"/>
            <w:r>
              <w:rPr>
                <w:rFonts w:ascii="Times New Roman" w:hAnsi="Times New Roman"/>
                <w:color w:val="000000"/>
                <w:sz w:val="20"/>
                <w:szCs w:val="20"/>
              </w:rPr>
              <w:t>со</w:t>
            </w:r>
            <w:proofErr w:type="gramEnd"/>
            <w:r>
              <w:rPr>
                <w:rFonts w:ascii="Times New Roman" w:hAnsi="Times New Roman"/>
                <w:color w:val="000000"/>
                <w:sz w:val="20"/>
                <w:szCs w:val="20"/>
              </w:rPr>
              <w:t xml:space="preserve"> соблюдением температурных режимов отгружаемой продукции. По окончанию  погрузки, перевозчик обязан поставить отметку (Ф.И.О., подпись) в ТТН.</w:t>
            </w:r>
            <w:r>
              <w:rPr>
                <w:rFonts w:ascii="Times New Roman" w:hAnsi="Times New Roman"/>
                <w:color w:val="000000"/>
                <w:sz w:val="20"/>
                <w:szCs w:val="20"/>
              </w:rPr>
              <w:br/>
              <w:t xml:space="preserve">3.7. Лица, участвующие в перевозке продукции должны иметь личные медицинские книжки с отметкой о прохождении в установленный срок медицинского осмотра, иметь </w:t>
            </w:r>
            <w:proofErr w:type="spellStart"/>
            <w:r>
              <w:rPr>
                <w:rFonts w:ascii="Times New Roman" w:hAnsi="Times New Roman"/>
                <w:color w:val="000000"/>
                <w:sz w:val="20"/>
                <w:szCs w:val="20"/>
              </w:rPr>
              <w:t>санодежду</w:t>
            </w:r>
            <w:proofErr w:type="spellEnd"/>
            <w:r>
              <w:rPr>
                <w:rFonts w:ascii="Times New Roman" w:hAnsi="Times New Roman"/>
                <w:color w:val="000000"/>
                <w:sz w:val="20"/>
                <w:szCs w:val="20"/>
              </w:rPr>
              <w:t xml:space="preserve"> и соблюдать правила личной гигиены.</w:t>
            </w:r>
            <w:r>
              <w:rPr>
                <w:rFonts w:ascii="Times New Roman" w:hAnsi="Times New Roman"/>
                <w:color w:val="000000"/>
                <w:sz w:val="20"/>
                <w:szCs w:val="20"/>
              </w:rPr>
              <w:br/>
              <w:t xml:space="preserve">3.8. Право собственности на товар переходит от Поставщика к Покупателю в момент оплаты Покупателем товара. При этом Покупатель имеет право реализовывать Товар третьим лицам. </w:t>
            </w:r>
          </w:p>
        </w:tc>
      </w:tr>
    </w:tbl>
    <w:p w:rsidR="00D2170C" w:rsidRDefault="00D2170C">
      <w:pPr>
        <w:widowControl w:val="0"/>
        <w:autoSpaceDE w:val="0"/>
        <w:autoSpaceDN w:val="0"/>
        <w:adjustRightInd w:val="0"/>
        <w:spacing w:after="0" w:line="240" w:lineRule="auto"/>
        <w:rPr>
          <w:rFonts w:ascii="MS Sans Serif" w:hAnsi="MS Sans Serif"/>
          <w:sz w:val="24"/>
          <w:szCs w:val="24"/>
        </w:rPr>
        <w:sectPr w:rsidR="00D2170C">
          <w:pgSz w:w="11926" w:h="16867"/>
          <w:pgMar w:top="282" w:right="282" w:bottom="282" w:left="1130"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248"/>
        <w:gridCol w:w="170"/>
      </w:tblGrid>
      <w:tr w:rsidR="00D2170C">
        <w:trPr>
          <w:trHeight w:hRule="exact" w:val="72"/>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p>
        </w:tc>
      </w:tr>
      <w:tr w:rsidR="00D2170C">
        <w:trPr>
          <w:trHeight w:hRule="exact" w:val="57"/>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rPr>
                <w:rFonts w:ascii="MS Sans Serif" w:hAnsi="MS Sans Serif" w:cs="MS Sans Serif"/>
                <w:color w:val="000000"/>
                <w:sz w:val="16"/>
                <w:szCs w:val="16"/>
              </w:rPr>
            </w:pPr>
          </w:p>
        </w:tc>
      </w:tr>
      <w:tr w:rsidR="00D2170C">
        <w:trPr>
          <w:trHeight w:hRule="exact" w:val="227"/>
        </w:trPr>
        <w:tc>
          <w:tcPr>
            <w:tcW w:w="10248"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4. ЦЕНЫ И ПОРЯДОК РАСЧЕТОВ.</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5669"/>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 xml:space="preserve">4.1 Цены на продукцию формируются  в соответствии с законодательством Республики Беларусь, в белорусских рублях, являются договорными и устанавливаются Поставщиком в соответствии с прейскурантом, либо протоколом согласования цен, либо иным документом, действующим у поставщика. </w:t>
            </w:r>
            <w:proofErr w:type="gramStart"/>
            <w:r>
              <w:rPr>
                <w:rFonts w:ascii="Times New Roman" w:hAnsi="Times New Roman"/>
                <w:color w:val="000000"/>
                <w:sz w:val="20"/>
                <w:szCs w:val="20"/>
              </w:rPr>
              <w:t xml:space="preserve">В дальнейшем, в процессе исполнения договора, при изменении стоимости сырья, материалов, энергоносителей и иных </w:t>
            </w:r>
            <w:proofErr w:type="spellStart"/>
            <w:r>
              <w:rPr>
                <w:rFonts w:ascii="Times New Roman" w:hAnsi="Times New Roman"/>
                <w:color w:val="000000"/>
                <w:sz w:val="20"/>
                <w:szCs w:val="20"/>
              </w:rPr>
              <w:t>ценообразующих</w:t>
            </w:r>
            <w:proofErr w:type="spellEnd"/>
            <w:r>
              <w:rPr>
                <w:rFonts w:ascii="Times New Roman" w:hAnsi="Times New Roman"/>
                <w:color w:val="000000"/>
                <w:sz w:val="20"/>
                <w:szCs w:val="20"/>
              </w:rPr>
              <w:t xml:space="preserve">  факторов, Поставщик вправе изменить цены на производимую продукцию, известив об этом  Покупателя, с направлением ему прейскуранта за 14 дней до введения новой цены.</w:t>
            </w:r>
            <w:r>
              <w:rPr>
                <w:rFonts w:ascii="Times New Roman" w:hAnsi="Times New Roman"/>
                <w:color w:val="000000"/>
                <w:sz w:val="20"/>
                <w:szCs w:val="20"/>
              </w:rPr>
              <w:br/>
              <w:t>4.2.Сумма настоящего договора определяется путем сложения стоимости каждой партии отгруженной продукции, указанной в товарно-транспортной накладной Поставщика, начиная с первой поставки с</w:t>
            </w:r>
            <w:proofErr w:type="gramEnd"/>
            <w:r>
              <w:rPr>
                <w:rFonts w:ascii="Times New Roman" w:hAnsi="Times New Roman"/>
                <w:color w:val="000000"/>
                <w:sz w:val="20"/>
                <w:szCs w:val="20"/>
              </w:rPr>
              <w:t xml:space="preserve"> момента заключения договора,  нарастающим итогом. </w:t>
            </w:r>
            <w:r>
              <w:rPr>
                <w:rFonts w:ascii="Times New Roman" w:hAnsi="Times New Roman"/>
                <w:color w:val="000000"/>
                <w:sz w:val="20"/>
                <w:szCs w:val="20"/>
              </w:rPr>
              <w:br/>
              <w:t>4.3.Оплата стоимости партии поставляемого товара производится  банковским переводом платежным поручением Покупателя на условиях 100% предоплаты.</w:t>
            </w:r>
            <w:r>
              <w:rPr>
                <w:rFonts w:ascii="Times New Roman" w:hAnsi="Times New Roman"/>
                <w:color w:val="000000"/>
                <w:sz w:val="20"/>
                <w:szCs w:val="20"/>
              </w:rPr>
              <w:br/>
              <w:t>По соглашению сторон возможны другие формы расчетов, предусмотренные законодательством Республики Беларусь.</w:t>
            </w:r>
            <w:r>
              <w:rPr>
                <w:rFonts w:ascii="Times New Roman" w:hAnsi="Times New Roman"/>
                <w:color w:val="000000"/>
                <w:sz w:val="20"/>
                <w:szCs w:val="20"/>
              </w:rPr>
              <w:br/>
              <w:t>4.4. Стороны при необходимости проводят сверку расчетов путем подписания акта сверки расчетов. В течени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 xml:space="preserve"> 10 (десяти) календарных дней сторона, получившая акт обязана его подписать, либо предоставить в письменной форме обоснованные возражения на него. В случае не подписания и  (или) не возврата акта сверки в установленный срок, сальдо по акту считается подтвержденным.</w:t>
            </w:r>
            <w:r>
              <w:rPr>
                <w:rFonts w:ascii="Times New Roman" w:hAnsi="Times New Roman"/>
                <w:color w:val="000000"/>
                <w:sz w:val="20"/>
                <w:szCs w:val="20"/>
              </w:rPr>
              <w:br/>
              <w:t>4.5. Поставщик, исходя из финансового состояния, может предоставлять Покупателю скидки на товар, согласно действующему  на предприятии  Поставщика положения о скидках. Поставщик имеет право в одностороннем порядке отменить предоставление скидок при систематическом нарушении принятых на себя платежных обязательств по договору.</w:t>
            </w:r>
            <w:r>
              <w:rPr>
                <w:rFonts w:ascii="Times New Roman" w:hAnsi="Times New Roman"/>
                <w:color w:val="000000"/>
                <w:sz w:val="20"/>
                <w:szCs w:val="20"/>
              </w:rPr>
              <w:br/>
              <w:t xml:space="preserve">4.6. В случаях и порядке, установленных законодательством, Поставщик обязан выставить (направить) электронный счет-фактуру (далее - ЭСЧФ) по НДС по поставленному товару не позднее 10 числа 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отчетным</w:t>
            </w:r>
            <w:proofErr w:type="gramEnd"/>
            <w:r>
              <w:rPr>
                <w:rFonts w:ascii="Times New Roman" w:hAnsi="Times New Roman"/>
                <w:color w:val="000000"/>
                <w:sz w:val="20"/>
                <w:szCs w:val="20"/>
              </w:rPr>
              <w:t xml:space="preserve"> на портал Министерства по налогам и сборам Республики Беларусь.</w:t>
            </w:r>
          </w:p>
        </w:tc>
      </w:tr>
      <w:tr w:rsidR="00D2170C">
        <w:trPr>
          <w:trHeight w:hRule="exact" w:val="227"/>
        </w:trPr>
        <w:tc>
          <w:tcPr>
            <w:tcW w:w="10248"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5. ИМУЩЕСТВЕННАЯ ОТВЕТСТВЕННОСТЬ.</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3240"/>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5.1  Ответственность сторон за ненадлежащее исполнение обязательств по договору наступает в соответствии с настоящим договором и законодательством Республики Беларусь.</w:t>
            </w:r>
            <w:r>
              <w:rPr>
                <w:rFonts w:ascii="Times New Roman" w:hAnsi="Times New Roman"/>
                <w:color w:val="000000"/>
                <w:sz w:val="20"/>
                <w:szCs w:val="20"/>
              </w:rPr>
              <w:br/>
              <w:t>5.2</w:t>
            </w:r>
            <w:proofErr w:type="gramStart"/>
            <w:r>
              <w:rPr>
                <w:rFonts w:ascii="Times New Roman" w:hAnsi="Times New Roman"/>
                <w:color w:val="000000"/>
                <w:sz w:val="20"/>
                <w:szCs w:val="20"/>
              </w:rPr>
              <w:t xml:space="preserve">  П</w:t>
            </w:r>
            <w:proofErr w:type="gramEnd"/>
            <w:r>
              <w:rPr>
                <w:rFonts w:ascii="Times New Roman" w:hAnsi="Times New Roman"/>
                <w:color w:val="000000"/>
                <w:sz w:val="20"/>
                <w:szCs w:val="20"/>
              </w:rPr>
              <w:t>ри обнаружении в поставленной продукции нарушений требований стандартов Республики Беларусь и несоответствия качества Поставщик обязан за свой счет заменить такую продукцию, а если замена невозможна – вывезти такую продукцию и осуществить возврат перечисленных за нее денежных средств в течение  10-ти  банковских дней с момента обнаружения.</w:t>
            </w:r>
            <w:r>
              <w:rPr>
                <w:rFonts w:ascii="Times New Roman" w:hAnsi="Times New Roman"/>
                <w:color w:val="000000"/>
                <w:sz w:val="20"/>
                <w:szCs w:val="20"/>
              </w:rPr>
              <w:br/>
              <w:t>5.3. За просрочку  поставки или недопоставку продукции (товаров) Поставщик уплачивает Покупателю пеню в размере 0,1% от стоимости не</w:t>
            </w:r>
            <w:r w:rsidR="000E440E">
              <w:rPr>
                <w:rFonts w:ascii="Times New Roman" w:hAnsi="Times New Roman"/>
                <w:color w:val="000000"/>
                <w:sz w:val="20"/>
                <w:szCs w:val="20"/>
              </w:rPr>
              <w:t xml:space="preserve"> </w:t>
            </w:r>
            <w:r>
              <w:rPr>
                <w:rFonts w:ascii="Times New Roman" w:hAnsi="Times New Roman"/>
                <w:color w:val="000000"/>
                <w:sz w:val="20"/>
                <w:szCs w:val="20"/>
              </w:rPr>
              <w:t>поставленного (не своевременно поставленного) товара за каждый день просрочки поставки.</w:t>
            </w:r>
            <w:r>
              <w:rPr>
                <w:rFonts w:ascii="Times New Roman" w:hAnsi="Times New Roman"/>
                <w:color w:val="000000"/>
                <w:sz w:val="20"/>
                <w:szCs w:val="20"/>
              </w:rPr>
              <w:br/>
              <w:t>5.4. За просрочку  оплаты поставленной Поставщиком продукции (товаров) Покупатель уплачивает Поставщику пеню в размере однодневной ставки рефинансирования Национального банка Республики Беларусь, увеличенной в два раза, от суммы просроченного платежа за каждый день просрочки.</w:t>
            </w:r>
            <w:r>
              <w:rPr>
                <w:rFonts w:ascii="Times New Roman" w:hAnsi="Times New Roman"/>
                <w:color w:val="000000"/>
                <w:sz w:val="20"/>
                <w:szCs w:val="20"/>
              </w:rPr>
              <w:br/>
              <w:t xml:space="preserve">5.5. За просрочку возврата тары Покупатель уплачивает Поставщику штраф в размере 100% </w:t>
            </w:r>
            <w:proofErr w:type="gramStart"/>
            <w:r>
              <w:rPr>
                <w:rFonts w:ascii="Times New Roman" w:hAnsi="Times New Roman"/>
                <w:color w:val="000000"/>
                <w:sz w:val="20"/>
                <w:szCs w:val="20"/>
              </w:rPr>
              <w:t>стоимости</w:t>
            </w:r>
            <w:proofErr w:type="gramEnd"/>
            <w:r>
              <w:rPr>
                <w:rFonts w:ascii="Times New Roman" w:hAnsi="Times New Roman"/>
                <w:color w:val="000000"/>
                <w:sz w:val="20"/>
                <w:szCs w:val="20"/>
              </w:rPr>
              <w:t xml:space="preserve"> не возвращенной в срок тары.</w:t>
            </w:r>
          </w:p>
        </w:tc>
      </w:tr>
      <w:tr w:rsidR="00D2170C">
        <w:trPr>
          <w:trHeight w:hRule="exact" w:val="113"/>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rPr>
                <w:rFonts w:ascii="MS Sans Serif" w:hAnsi="MS Sans Serif" w:cs="MS Sans Serif"/>
                <w:color w:val="000000"/>
                <w:sz w:val="16"/>
                <w:szCs w:val="16"/>
              </w:rPr>
            </w:pPr>
          </w:p>
        </w:tc>
      </w:tr>
      <w:tr w:rsidR="00D2170C">
        <w:trPr>
          <w:trHeight w:hRule="exact" w:val="227"/>
        </w:trPr>
        <w:tc>
          <w:tcPr>
            <w:tcW w:w="10248"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6. ОБСТОЯТЕЛЬСТВА НЕПРЕОДОЛИМОЙ СИЛЫ (</w:t>
            </w:r>
            <w:proofErr w:type="gramStart"/>
            <w:r>
              <w:rPr>
                <w:rFonts w:ascii="Times New Roman" w:hAnsi="Times New Roman"/>
                <w:b/>
                <w:bCs/>
                <w:i/>
                <w:iCs/>
                <w:color w:val="000000"/>
                <w:sz w:val="20"/>
                <w:szCs w:val="20"/>
              </w:rPr>
              <w:t>ФОРС</w:t>
            </w:r>
            <w:proofErr w:type="gramEnd"/>
            <w:r>
              <w:rPr>
                <w:rFonts w:ascii="Times New Roman" w:hAnsi="Times New Roman"/>
                <w:b/>
                <w:bCs/>
                <w:i/>
                <w:iCs/>
                <w:color w:val="000000"/>
                <w:sz w:val="20"/>
                <w:szCs w:val="20"/>
              </w:rPr>
              <w:t xml:space="preserve"> – МАЖОР).</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3118"/>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наступление которых сторона, не исполнившая обязательство полностью или частично, не могла ни предвидеть, ни предотвратить разумными мерами.</w:t>
            </w:r>
            <w:r>
              <w:rPr>
                <w:rFonts w:ascii="Times New Roman" w:hAnsi="Times New Roman"/>
                <w:color w:val="000000"/>
                <w:sz w:val="20"/>
                <w:szCs w:val="20"/>
              </w:rPr>
              <w:br/>
              <w:t>6.2. К таким событиям чрезвычайного характера относятся наводнение, пожар, землетрясение и другие природные явления, а также война или военные действия, возникшие после заключения договора. Освобождает стороны от ответственности за неисполнение обязательств запрет на совершение действий, составляющих содержание обязательства, исходящий от правительства, органа государственной власти или управления, вышестоящей организации.</w:t>
            </w:r>
            <w:r>
              <w:rPr>
                <w:rFonts w:ascii="Times New Roman" w:hAnsi="Times New Roman"/>
                <w:color w:val="000000"/>
                <w:sz w:val="20"/>
                <w:szCs w:val="20"/>
              </w:rPr>
              <w:br/>
              <w:t>6.3. Если любое из вышеназванных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соответствующего обстоятельства.</w:t>
            </w:r>
            <w:r>
              <w:rPr>
                <w:rFonts w:ascii="Times New Roman" w:hAnsi="Times New Roman"/>
                <w:color w:val="000000"/>
                <w:sz w:val="20"/>
                <w:szCs w:val="20"/>
              </w:rPr>
              <w:br/>
              <w:t>6.4. Если обстоятельства непреодолимой силы продолжают действовать более трех месяцев, стороны принимают решение об отсрочке исполнения договора или о его расторжении.</w:t>
            </w:r>
          </w:p>
        </w:tc>
      </w:tr>
      <w:tr w:rsidR="00D2170C">
        <w:trPr>
          <w:trHeight w:hRule="exact" w:val="227"/>
        </w:trPr>
        <w:tc>
          <w:tcPr>
            <w:tcW w:w="10248"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7. ДОПОЛНИТЕЛЬНЫЕ  УСЛОВИЯ.</w:t>
            </w:r>
          </w:p>
        </w:tc>
        <w:tc>
          <w:tcPr>
            <w:tcW w:w="170" w:type="dxa"/>
            <w:tcBorders>
              <w:top w:val="nil"/>
              <w:left w:val="nil"/>
              <w:bottom w:val="nil"/>
              <w:right w:val="nil"/>
            </w:tcBorders>
          </w:tcPr>
          <w:p w:rsidR="00D2170C" w:rsidRDefault="00D2170C">
            <w:pPr>
              <w:widowControl w:val="0"/>
              <w:autoSpaceDE w:val="0"/>
              <w:autoSpaceDN w:val="0"/>
              <w:adjustRightInd w:val="0"/>
              <w:spacing w:before="30" w:after="0" w:line="225" w:lineRule="exact"/>
              <w:ind w:left="15"/>
              <w:rPr>
                <w:rFonts w:ascii="MS Sans Serif" w:hAnsi="MS Sans Serif" w:cs="MS Sans Serif"/>
                <w:color w:val="000000"/>
                <w:sz w:val="16"/>
                <w:szCs w:val="16"/>
              </w:rPr>
            </w:pPr>
          </w:p>
        </w:tc>
      </w:tr>
      <w:tr w:rsidR="00D2170C">
        <w:trPr>
          <w:trHeight w:hRule="exact" w:val="3094"/>
        </w:trPr>
        <w:tc>
          <w:tcPr>
            <w:tcW w:w="10418" w:type="dxa"/>
            <w:gridSpan w:val="2"/>
            <w:tcBorders>
              <w:top w:val="nil"/>
              <w:left w:val="nil"/>
              <w:bottom w:val="nil"/>
              <w:right w:val="nil"/>
            </w:tcBorders>
          </w:tcPr>
          <w:p w:rsidR="00D2170C" w:rsidRDefault="00D2170C">
            <w:pPr>
              <w:widowControl w:val="0"/>
              <w:autoSpaceDE w:val="0"/>
              <w:autoSpaceDN w:val="0"/>
              <w:adjustRightInd w:val="0"/>
              <w:spacing w:before="30" w:after="0" w:line="225" w:lineRule="exact"/>
              <w:ind w:left="15" w:firstLine="572"/>
              <w:jc w:val="both"/>
              <w:rPr>
                <w:rFonts w:ascii="MS Sans Serif" w:hAnsi="MS Sans Serif"/>
                <w:sz w:val="24"/>
                <w:szCs w:val="24"/>
              </w:rPr>
            </w:pPr>
            <w:r>
              <w:rPr>
                <w:rFonts w:ascii="Times New Roman" w:hAnsi="Times New Roman"/>
                <w:color w:val="000000"/>
                <w:sz w:val="20"/>
                <w:szCs w:val="20"/>
              </w:rPr>
              <w:t>7.1. Во всем остальном, не предусмотренном в настоящем договоре, стороны руководствуются действующим законодательством Республики Беларусь.</w:t>
            </w:r>
            <w:r>
              <w:rPr>
                <w:rFonts w:ascii="Times New Roman" w:hAnsi="Times New Roman"/>
                <w:color w:val="000000"/>
                <w:sz w:val="20"/>
                <w:szCs w:val="20"/>
              </w:rPr>
              <w:br/>
              <w:t>7.2. Все споры, возникающие между сторонами, разрешаются в претензионном порядке. Сторона получившая претензию, должна рассмотреть ее и дать ответ, путем направления корреспонденции заказным письмом с уведомлением в течени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 xml:space="preserve"> 10-ти календарных дней с момента ее получения. При </w:t>
            </w:r>
            <w:proofErr w:type="spellStart"/>
            <w:r>
              <w:rPr>
                <w:rFonts w:ascii="Times New Roman" w:hAnsi="Times New Roman"/>
                <w:color w:val="000000"/>
                <w:sz w:val="20"/>
                <w:szCs w:val="20"/>
              </w:rPr>
              <w:t>недостижении</w:t>
            </w:r>
            <w:proofErr w:type="spellEnd"/>
            <w:r>
              <w:rPr>
                <w:rFonts w:ascii="Times New Roman" w:hAnsi="Times New Roman"/>
                <w:color w:val="000000"/>
                <w:sz w:val="20"/>
                <w:szCs w:val="20"/>
              </w:rPr>
              <w:t xml:space="preserve"> согласия споры подлежат рассмотрению в Экономическом суде по месту нахождения ответчика.</w:t>
            </w:r>
            <w:r>
              <w:rPr>
                <w:rFonts w:ascii="Times New Roman" w:hAnsi="Times New Roman"/>
                <w:color w:val="000000"/>
                <w:sz w:val="20"/>
                <w:szCs w:val="20"/>
              </w:rPr>
              <w:br/>
              <w:t>7.3. Договор, заключенный с помощью факсимильной связи, стороны признают имеющим юридическую силу при наличии оригинальной подписи и печати одной из сторон и последующей заменой на оригинал.</w:t>
            </w:r>
            <w:r>
              <w:rPr>
                <w:rFonts w:ascii="Times New Roman" w:hAnsi="Times New Roman"/>
                <w:color w:val="000000"/>
                <w:sz w:val="20"/>
                <w:szCs w:val="20"/>
              </w:rPr>
              <w:br/>
              <w:t>7.4. Покупатель обязан возвратить Поставщику надлежащим образом оформленный оригинал договора (подписанный уполномоченным лицом и скрепленный печатью) в течение 10 (десяти) календарных дней с момента его получения.</w:t>
            </w:r>
            <w:r>
              <w:rPr>
                <w:rFonts w:ascii="Times New Roman" w:hAnsi="Times New Roman"/>
                <w:color w:val="000000"/>
                <w:sz w:val="20"/>
                <w:szCs w:val="20"/>
              </w:rPr>
              <w:br/>
              <w:t>7.5. В случае невыполнения Покупателем п.7.4 настоящего договора Поставщик имеет право до обмена оригиналами договора приостановить поставку товара.</w:t>
            </w:r>
          </w:p>
        </w:tc>
      </w:tr>
    </w:tbl>
    <w:p w:rsidR="00D2170C" w:rsidRDefault="00D2170C">
      <w:pPr>
        <w:widowControl w:val="0"/>
        <w:autoSpaceDE w:val="0"/>
        <w:autoSpaceDN w:val="0"/>
        <w:adjustRightInd w:val="0"/>
        <w:spacing w:after="0" w:line="240" w:lineRule="auto"/>
        <w:rPr>
          <w:rFonts w:ascii="MS Sans Serif" w:hAnsi="MS Sans Serif"/>
          <w:sz w:val="24"/>
          <w:szCs w:val="24"/>
        </w:rPr>
        <w:sectPr w:rsidR="00D2170C">
          <w:pgSz w:w="11926" w:h="16867"/>
          <w:pgMar w:top="282" w:right="282" w:bottom="282" w:left="1130"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14"/>
        <w:gridCol w:w="373"/>
        <w:gridCol w:w="4861"/>
        <w:gridCol w:w="170"/>
      </w:tblGrid>
      <w:tr w:rsidR="00D2170C">
        <w:trPr>
          <w:trHeight w:hRule="exact" w:val="952"/>
        </w:trPr>
        <w:tc>
          <w:tcPr>
            <w:tcW w:w="10418" w:type="dxa"/>
            <w:gridSpan w:val="4"/>
            <w:tcBorders>
              <w:top w:val="nil"/>
              <w:left w:val="nil"/>
              <w:bottom w:val="nil"/>
              <w:right w:val="nil"/>
            </w:tcBorders>
          </w:tcPr>
          <w:p w:rsidR="00D2170C" w:rsidRDefault="00D2170C">
            <w:pPr>
              <w:widowControl w:val="0"/>
              <w:autoSpaceDE w:val="0"/>
              <w:autoSpaceDN w:val="0"/>
              <w:adjustRightInd w:val="0"/>
              <w:spacing w:before="29" w:after="0" w:line="218" w:lineRule="exact"/>
              <w:ind w:left="15" w:firstLine="572"/>
              <w:jc w:val="both"/>
              <w:rPr>
                <w:rFonts w:ascii="MS Sans Serif" w:hAnsi="MS Sans Serif"/>
                <w:sz w:val="24"/>
                <w:szCs w:val="24"/>
              </w:rPr>
            </w:pPr>
            <w:r>
              <w:rPr>
                <w:rFonts w:ascii="Times New Roman" w:hAnsi="Times New Roman"/>
                <w:color w:val="000000"/>
                <w:sz w:val="20"/>
                <w:szCs w:val="20"/>
              </w:rPr>
              <w:lastRenderedPageBreak/>
              <w:t xml:space="preserve">7.6. Настоящий договор действует </w:t>
            </w:r>
            <w:proofErr w:type="gramStart"/>
            <w:r>
              <w:rPr>
                <w:rFonts w:ascii="Times New Roman" w:hAnsi="Times New Roman"/>
                <w:color w:val="000000"/>
                <w:sz w:val="20"/>
                <w:szCs w:val="20"/>
              </w:rPr>
              <w:t>с даты подписания</w:t>
            </w:r>
            <w:proofErr w:type="gramEnd"/>
            <w:r>
              <w:rPr>
                <w:rFonts w:ascii="Times New Roman" w:hAnsi="Times New Roman"/>
                <w:color w:val="000000"/>
                <w:sz w:val="20"/>
                <w:szCs w:val="20"/>
              </w:rPr>
              <w:t xml:space="preserve"> по 31 декабря</w:t>
            </w:r>
            <w:r w:rsidR="000E440E">
              <w:rPr>
                <w:rFonts w:ascii="Times New Roman" w:hAnsi="Times New Roman"/>
                <w:color w:val="000000"/>
                <w:sz w:val="20"/>
                <w:szCs w:val="20"/>
              </w:rPr>
              <w:t xml:space="preserve"> 2023</w:t>
            </w:r>
            <w:r>
              <w:rPr>
                <w:rFonts w:ascii="Times New Roman" w:hAnsi="Times New Roman"/>
                <w:color w:val="000000"/>
                <w:sz w:val="20"/>
                <w:szCs w:val="20"/>
              </w:rPr>
              <w:t xml:space="preserve"> года включительно. Если до окончания срока действия договора ни одна из сторон не направит другой стороне уведомление о прекращении (изменении) договора, настоящий договор автоматически пролонгируется на каждый последующий календарный год на тех же условиях.</w:t>
            </w:r>
          </w:p>
        </w:tc>
      </w:tr>
      <w:tr w:rsidR="00D2170C">
        <w:trPr>
          <w:trHeight w:hRule="exact" w:val="219"/>
        </w:trPr>
        <w:tc>
          <w:tcPr>
            <w:tcW w:w="10248" w:type="dxa"/>
            <w:gridSpan w:val="3"/>
            <w:tcBorders>
              <w:top w:val="nil"/>
              <w:left w:val="nil"/>
              <w:bottom w:val="nil"/>
              <w:right w:val="nil"/>
            </w:tcBorders>
          </w:tcPr>
          <w:p w:rsidR="00D2170C" w:rsidRDefault="00D2170C">
            <w:pPr>
              <w:widowControl w:val="0"/>
              <w:autoSpaceDE w:val="0"/>
              <w:autoSpaceDN w:val="0"/>
              <w:adjustRightInd w:val="0"/>
              <w:spacing w:before="29" w:after="0" w:line="218"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8. АНТИКОРРУПЦИОННАЯ ОГОВОРКА</w:t>
            </w:r>
          </w:p>
        </w:tc>
        <w:tc>
          <w:tcPr>
            <w:tcW w:w="170" w:type="dxa"/>
            <w:tcBorders>
              <w:top w:val="nil"/>
              <w:left w:val="nil"/>
              <w:bottom w:val="nil"/>
              <w:right w:val="nil"/>
            </w:tcBorders>
          </w:tcPr>
          <w:p w:rsidR="00D2170C" w:rsidRDefault="00D2170C">
            <w:pPr>
              <w:widowControl w:val="0"/>
              <w:autoSpaceDE w:val="0"/>
              <w:autoSpaceDN w:val="0"/>
              <w:adjustRightInd w:val="0"/>
              <w:spacing w:before="29" w:after="0" w:line="218" w:lineRule="exact"/>
              <w:ind w:left="15"/>
              <w:rPr>
                <w:rFonts w:ascii="MS Sans Serif" w:hAnsi="MS Sans Serif" w:cs="MS Sans Serif"/>
                <w:color w:val="000000"/>
                <w:sz w:val="16"/>
                <w:szCs w:val="16"/>
              </w:rPr>
            </w:pPr>
          </w:p>
        </w:tc>
      </w:tr>
      <w:tr w:rsidR="00D2170C">
        <w:trPr>
          <w:trHeight w:hRule="exact" w:val="2248"/>
        </w:trPr>
        <w:tc>
          <w:tcPr>
            <w:tcW w:w="10418" w:type="dxa"/>
            <w:gridSpan w:val="4"/>
            <w:tcBorders>
              <w:top w:val="nil"/>
              <w:left w:val="nil"/>
              <w:bottom w:val="nil"/>
              <w:right w:val="nil"/>
            </w:tcBorders>
          </w:tcPr>
          <w:p w:rsidR="00D2170C" w:rsidRDefault="00D2170C">
            <w:pPr>
              <w:widowControl w:val="0"/>
              <w:autoSpaceDE w:val="0"/>
              <w:autoSpaceDN w:val="0"/>
              <w:adjustRightInd w:val="0"/>
              <w:spacing w:before="29" w:after="0" w:line="218" w:lineRule="exact"/>
              <w:ind w:left="15" w:firstLine="572"/>
              <w:jc w:val="both"/>
              <w:rPr>
                <w:rFonts w:ascii="MS Sans Serif" w:hAnsi="MS Sans Serif"/>
                <w:sz w:val="24"/>
                <w:szCs w:val="24"/>
              </w:rPr>
            </w:pPr>
            <w:r>
              <w:rPr>
                <w:rFonts w:ascii="Times New Roman" w:hAnsi="Times New Roman"/>
                <w:color w:val="000000"/>
                <w:sz w:val="20"/>
                <w:szCs w:val="20"/>
              </w:rPr>
              <w:t>8.1. При исполнении своих обязанностей по договору, Стороны, их аффилированные лица, работники или посредники обязуются не совершать  в отношении иных лиц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r>
              <w:rPr>
                <w:rFonts w:ascii="Times New Roman" w:hAnsi="Times New Roman"/>
                <w:color w:val="000000"/>
                <w:sz w:val="20"/>
                <w:szCs w:val="20"/>
              </w:rPr>
              <w:br/>
              <w:t>8.2. При исполнении своих обязанностей по договору, Стороны обязуются не допускать действий коррупционной направленности.</w:t>
            </w:r>
            <w:r>
              <w:rPr>
                <w:rFonts w:ascii="Times New Roman" w:hAnsi="Times New Roman"/>
                <w:color w:val="000000"/>
                <w:sz w:val="20"/>
                <w:szCs w:val="20"/>
              </w:rPr>
              <w:br/>
              <w:t>8.3. 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r>
              <w:rPr>
                <w:rFonts w:ascii="Times New Roman" w:hAnsi="Times New Roman"/>
                <w:color w:val="000000"/>
                <w:sz w:val="20"/>
                <w:szCs w:val="20"/>
              </w:rPr>
              <w:br/>
              <w:t>8.4. Стороны признают возможность расторжения договора в одностороннем порядке в случае нарушения одной из сторон условий оговорки.</w:t>
            </w:r>
          </w:p>
        </w:tc>
      </w:tr>
      <w:tr w:rsidR="00D2170C">
        <w:trPr>
          <w:trHeight w:hRule="exact" w:val="55"/>
        </w:trPr>
        <w:tc>
          <w:tcPr>
            <w:tcW w:w="10418" w:type="dxa"/>
            <w:gridSpan w:val="4"/>
            <w:tcBorders>
              <w:top w:val="nil"/>
              <w:left w:val="nil"/>
              <w:bottom w:val="nil"/>
              <w:right w:val="nil"/>
            </w:tcBorders>
          </w:tcPr>
          <w:p w:rsidR="00D2170C" w:rsidRDefault="00D2170C">
            <w:pPr>
              <w:widowControl w:val="0"/>
              <w:autoSpaceDE w:val="0"/>
              <w:autoSpaceDN w:val="0"/>
              <w:adjustRightInd w:val="0"/>
              <w:spacing w:before="29" w:after="0" w:line="218" w:lineRule="exact"/>
              <w:ind w:left="15" w:firstLine="572"/>
              <w:rPr>
                <w:rFonts w:ascii="MS Sans Serif" w:hAnsi="MS Sans Serif" w:cs="MS Sans Serif"/>
                <w:color w:val="000000"/>
                <w:sz w:val="16"/>
                <w:szCs w:val="16"/>
              </w:rPr>
            </w:pPr>
          </w:p>
        </w:tc>
      </w:tr>
      <w:tr w:rsidR="00D2170C">
        <w:trPr>
          <w:trHeight w:hRule="exact" w:val="219"/>
        </w:trPr>
        <w:tc>
          <w:tcPr>
            <w:tcW w:w="10248" w:type="dxa"/>
            <w:gridSpan w:val="3"/>
            <w:tcBorders>
              <w:top w:val="nil"/>
              <w:left w:val="nil"/>
              <w:bottom w:val="nil"/>
              <w:right w:val="nil"/>
            </w:tcBorders>
          </w:tcPr>
          <w:p w:rsidR="00D2170C" w:rsidRDefault="00D2170C">
            <w:pPr>
              <w:widowControl w:val="0"/>
              <w:autoSpaceDE w:val="0"/>
              <w:autoSpaceDN w:val="0"/>
              <w:adjustRightInd w:val="0"/>
              <w:spacing w:before="29" w:after="0" w:line="218" w:lineRule="exact"/>
              <w:ind w:left="15"/>
              <w:jc w:val="center"/>
              <w:rPr>
                <w:rFonts w:ascii="Times New Roman" w:hAnsi="Times New Roman"/>
                <w:b/>
                <w:bCs/>
                <w:i/>
                <w:iCs/>
                <w:color w:val="000000"/>
                <w:sz w:val="20"/>
                <w:szCs w:val="20"/>
              </w:rPr>
            </w:pPr>
            <w:r>
              <w:rPr>
                <w:rFonts w:ascii="Times New Roman" w:hAnsi="Times New Roman"/>
                <w:b/>
                <w:bCs/>
                <w:i/>
                <w:iCs/>
                <w:color w:val="000000"/>
                <w:sz w:val="20"/>
                <w:szCs w:val="20"/>
              </w:rPr>
              <w:t>9. ЮРИДИЧЕСКИЕ  АДРЕСА  И БАНКОВСКИЕ РЕКВИЗИТЫ  СТОРОН.</w:t>
            </w:r>
          </w:p>
        </w:tc>
        <w:tc>
          <w:tcPr>
            <w:tcW w:w="170" w:type="dxa"/>
            <w:vMerge w:val="restart"/>
            <w:tcBorders>
              <w:top w:val="nil"/>
              <w:left w:val="nil"/>
              <w:bottom w:val="nil"/>
              <w:right w:val="nil"/>
            </w:tcBorders>
          </w:tcPr>
          <w:p w:rsidR="00D2170C" w:rsidRDefault="00D2170C">
            <w:pPr>
              <w:widowControl w:val="0"/>
              <w:autoSpaceDE w:val="0"/>
              <w:autoSpaceDN w:val="0"/>
              <w:adjustRightInd w:val="0"/>
              <w:spacing w:before="29" w:after="0" w:line="218" w:lineRule="exact"/>
              <w:ind w:left="15"/>
              <w:rPr>
                <w:rFonts w:ascii="MS Sans Serif" w:hAnsi="MS Sans Serif" w:cs="MS Sans Serif"/>
                <w:color w:val="000000"/>
                <w:sz w:val="16"/>
                <w:szCs w:val="16"/>
              </w:rPr>
            </w:pPr>
          </w:p>
        </w:tc>
      </w:tr>
      <w:tr w:rsidR="00D2170C">
        <w:trPr>
          <w:trHeight w:hRule="exact" w:val="55"/>
        </w:trPr>
        <w:tc>
          <w:tcPr>
            <w:tcW w:w="10248" w:type="dxa"/>
            <w:gridSpan w:val="3"/>
            <w:tcBorders>
              <w:top w:val="nil"/>
              <w:left w:val="nil"/>
              <w:bottom w:val="nil"/>
              <w:right w:val="nil"/>
            </w:tcBorders>
          </w:tcPr>
          <w:p w:rsidR="00D2170C" w:rsidRDefault="00D2170C">
            <w:pPr>
              <w:widowControl w:val="0"/>
              <w:autoSpaceDE w:val="0"/>
              <w:autoSpaceDN w:val="0"/>
              <w:adjustRightInd w:val="0"/>
              <w:spacing w:before="29" w:after="0" w:line="218" w:lineRule="exact"/>
              <w:ind w:left="15"/>
              <w:rPr>
                <w:rFonts w:ascii="MS Sans Serif" w:hAnsi="MS Sans Serif" w:cs="MS Sans Serif"/>
                <w:color w:val="000000"/>
                <w:sz w:val="16"/>
                <w:szCs w:val="16"/>
              </w:rPr>
            </w:pPr>
          </w:p>
        </w:tc>
        <w:tc>
          <w:tcPr>
            <w:tcW w:w="170" w:type="dxa"/>
            <w:vMerge/>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sz w:val="3"/>
                <w:szCs w:val="3"/>
              </w:rPr>
            </w:pPr>
          </w:p>
        </w:tc>
      </w:tr>
      <w:tr w:rsidR="00D2170C" w:rsidTr="006C0648">
        <w:trPr>
          <w:trHeight w:hRule="exact" w:val="4892"/>
        </w:trPr>
        <w:tc>
          <w:tcPr>
            <w:tcW w:w="5014" w:type="dxa"/>
            <w:tcBorders>
              <w:top w:val="nil"/>
              <w:left w:val="nil"/>
              <w:bottom w:val="nil"/>
              <w:right w:val="nil"/>
            </w:tcBorders>
          </w:tcPr>
          <w:p w:rsidR="00D2170C" w:rsidRDefault="00D2170C">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ПОСТАВЩИК:</w:t>
            </w:r>
          </w:p>
          <w:p w:rsidR="00D2170C" w:rsidRDefault="00D2170C">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Открытое акционерное общество "Глубокский молочноконсервный комбинат" </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Витебская </w:t>
            </w:r>
            <w:proofErr w:type="spellStart"/>
            <w:r>
              <w:rPr>
                <w:rFonts w:ascii="Times New Roman CYR" w:hAnsi="Times New Roman CYR" w:cs="Times New Roman CYR"/>
                <w:color w:val="000000"/>
                <w:sz w:val="20"/>
                <w:szCs w:val="20"/>
              </w:rPr>
              <w:t>обл</w:t>
            </w:r>
            <w:proofErr w:type="spellEnd"/>
            <w:r>
              <w:rPr>
                <w:rFonts w:ascii="Times New Roman CYR" w:hAnsi="Times New Roman CYR" w:cs="Times New Roman CYR"/>
                <w:color w:val="000000"/>
                <w:sz w:val="20"/>
                <w:szCs w:val="20"/>
              </w:rPr>
              <w:t xml:space="preserve">, 211793, </w:t>
            </w:r>
            <w:proofErr w:type="spellStart"/>
            <w:r>
              <w:rPr>
                <w:rFonts w:ascii="Times New Roman CYR" w:hAnsi="Times New Roman CYR" w:cs="Times New Roman CYR"/>
                <w:color w:val="000000"/>
                <w:sz w:val="20"/>
                <w:szCs w:val="20"/>
              </w:rPr>
              <w:t>г</w:t>
            </w:r>
            <w:proofErr w:type="gramStart"/>
            <w:r>
              <w:rPr>
                <w:rFonts w:ascii="Times New Roman CYR" w:hAnsi="Times New Roman CYR" w:cs="Times New Roman CYR"/>
                <w:color w:val="000000"/>
                <w:sz w:val="20"/>
                <w:szCs w:val="20"/>
              </w:rPr>
              <w:t>.Г</w:t>
            </w:r>
            <w:proofErr w:type="gramEnd"/>
            <w:r>
              <w:rPr>
                <w:rFonts w:ascii="Times New Roman CYR" w:hAnsi="Times New Roman CYR" w:cs="Times New Roman CYR"/>
                <w:color w:val="000000"/>
                <w:sz w:val="20"/>
                <w:szCs w:val="20"/>
              </w:rPr>
              <w:t>лубокое</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ул.Ленина</w:t>
            </w:r>
            <w:proofErr w:type="spellEnd"/>
            <w:r>
              <w:rPr>
                <w:rFonts w:ascii="Times New Roman CYR" w:hAnsi="Times New Roman CYR" w:cs="Times New Roman CYR"/>
                <w:color w:val="000000"/>
                <w:sz w:val="20"/>
                <w:szCs w:val="20"/>
              </w:rPr>
              <w:t>, 131</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УНН 391541195</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Р</w:t>
            </w:r>
            <w:proofErr w:type="gramEnd"/>
            <w:r>
              <w:rPr>
                <w:rFonts w:ascii="Times New Roman CYR" w:hAnsi="Times New Roman CYR" w:cs="Times New Roman CYR"/>
                <w:color w:val="000000"/>
                <w:sz w:val="20"/>
                <w:szCs w:val="20"/>
              </w:rPr>
              <w:t>/счет № BY27BAPB30127461000100000000</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ОАО"Белагропромбанк</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г</w:t>
            </w:r>
            <w:proofErr w:type="gramStart"/>
            <w:r>
              <w:rPr>
                <w:rFonts w:ascii="Times New Roman CYR" w:hAnsi="Times New Roman CYR" w:cs="Times New Roman CYR"/>
                <w:color w:val="000000"/>
                <w:sz w:val="20"/>
                <w:szCs w:val="20"/>
              </w:rPr>
              <w:t>.М</w:t>
            </w:r>
            <w:proofErr w:type="gramEnd"/>
            <w:r>
              <w:rPr>
                <w:rFonts w:ascii="Times New Roman CYR" w:hAnsi="Times New Roman CYR" w:cs="Times New Roman CYR"/>
                <w:color w:val="000000"/>
                <w:sz w:val="20"/>
                <w:szCs w:val="20"/>
              </w:rPr>
              <w:t>инск</w:t>
            </w:r>
            <w:proofErr w:type="spellEnd"/>
            <w:r w:rsidRPr="000E440E">
              <w:rPr>
                <w:rFonts w:ascii="Times New Roman" w:hAnsi="Times New Roman"/>
                <w:color w:val="000000"/>
                <w:sz w:val="20"/>
                <w:szCs w:val="20"/>
              </w:rPr>
              <w:t xml:space="preserve"> </w:t>
            </w:r>
            <w:r>
              <w:rPr>
                <w:rFonts w:ascii="Times New Roman CYR" w:hAnsi="Times New Roman CYR" w:cs="Times New Roman CYR"/>
                <w:color w:val="000000"/>
                <w:sz w:val="20"/>
                <w:szCs w:val="20"/>
              </w:rPr>
              <w:t xml:space="preserve"> БИК  BAPBBY2X.</w:t>
            </w:r>
          </w:p>
          <w:p w:rsidR="00D2170C" w:rsidRPr="000E440E" w:rsidRDefault="00D2170C">
            <w:pPr>
              <w:widowControl w:val="0"/>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CYR" w:hAnsi="Times New Roman CYR" w:cs="Times New Roman CYR"/>
                <w:color w:val="000000"/>
                <w:sz w:val="20"/>
                <w:szCs w:val="20"/>
              </w:rPr>
              <w:t>Р</w:t>
            </w:r>
            <w:proofErr w:type="gramEnd"/>
            <w:r>
              <w:rPr>
                <w:rFonts w:ascii="Times New Roman CYR" w:hAnsi="Times New Roman CYR" w:cs="Times New Roman CYR"/>
                <w:color w:val="000000"/>
                <w:sz w:val="20"/>
                <w:szCs w:val="20"/>
              </w:rPr>
              <w:t xml:space="preserve">/счет № </w:t>
            </w:r>
            <w:r>
              <w:rPr>
                <w:rFonts w:ascii="Times New Roman" w:hAnsi="Times New Roman"/>
                <w:color w:val="000000"/>
                <w:sz w:val="20"/>
                <w:szCs w:val="20"/>
                <w:lang w:val="en-US"/>
              </w:rPr>
              <w:t>BY</w:t>
            </w:r>
            <w:r>
              <w:rPr>
                <w:rFonts w:ascii="Times New Roman CYR" w:hAnsi="Times New Roman CYR" w:cs="Times New Roman CYR"/>
                <w:color w:val="000000"/>
                <w:sz w:val="20"/>
                <w:szCs w:val="20"/>
              </w:rPr>
              <w:t>18</w:t>
            </w:r>
            <w:r>
              <w:rPr>
                <w:rFonts w:ascii="Times New Roman" w:hAnsi="Times New Roman"/>
                <w:color w:val="000000"/>
                <w:sz w:val="20"/>
                <w:szCs w:val="20"/>
                <w:lang w:val="en-US"/>
              </w:rPr>
              <w:t>AKBB</w:t>
            </w:r>
            <w:r w:rsidRPr="000E440E">
              <w:rPr>
                <w:rFonts w:ascii="Times New Roman" w:hAnsi="Times New Roman"/>
                <w:color w:val="000000"/>
                <w:sz w:val="20"/>
                <w:szCs w:val="20"/>
              </w:rPr>
              <w:t>3012</w:t>
            </w:r>
            <w:r>
              <w:rPr>
                <w:rFonts w:ascii="Times New Roman CYR" w:hAnsi="Times New Roman CYR" w:cs="Times New Roman CYR"/>
                <w:color w:val="000000"/>
                <w:sz w:val="20"/>
                <w:szCs w:val="20"/>
              </w:rPr>
              <w:t>0956780092300000</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ЦБУ 208 ф-л 216 ОАО АСБ "</w:t>
            </w:r>
            <w:proofErr w:type="spellStart"/>
            <w:r>
              <w:rPr>
                <w:rFonts w:ascii="Times New Roman CYR" w:hAnsi="Times New Roman CYR" w:cs="Times New Roman CYR"/>
                <w:color w:val="000000"/>
                <w:sz w:val="20"/>
                <w:szCs w:val="20"/>
              </w:rPr>
              <w:t>Беларусбанк</w:t>
            </w:r>
            <w:proofErr w:type="spellEnd"/>
            <w:r>
              <w:rPr>
                <w:rFonts w:ascii="Times New Roman CYR" w:hAnsi="Times New Roman CYR" w:cs="Times New Roman CYR"/>
                <w:color w:val="000000"/>
                <w:sz w:val="20"/>
                <w:szCs w:val="20"/>
              </w:rPr>
              <w:t>"</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БИК </w:t>
            </w:r>
            <w:r>
              <w:rPr>
                <w:rFonts w:ascii="Times New Roman" w:hAnsi="Times New Roman"/>
                <w:color w:val="000000"/>
                <w:sz w:val="20"/>
                <w:szCs w:val="20"/>
                <w:lang w:val="en-US"/>
              </w:rPr>
              <w:t>AKBBBY</w:t>
            </w:r>
            <w:r w:rsidRPr="000E440E">
              <w:rPr>
                <w:rFonts w:ascii="Times New Roman" w:hAnsi="Times New Roman"/>
                <w:color w:val="000000"/>
                <w:sz w:val="20"/>
                <w:szCs w:val="20"/>
              </w:rPr>
              <w:t>2</w:t>
            </w:r>
            <w:r>
              <w:rPr>
                <w:rFonts w:ascii="Times New Roman" w:hAnsi="Times New Roman"/>
                <w:color w:val="000000"/>
                <w:sz w:val="20"/>
                <w:szCs w:val="20"/>
                <w:lang w:val="en-US"/>
              </w:rPr>
              <w:t>X</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Факс 8-02156-5-49-12, 5-49-33 </w:t>
            </w:r>
          </w:p>
          <w:p w:rsidR="00D2170C" w:rsidRDefault="00D2170C">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контактный телефон 5-49-31, 5-49-37</w:t>
            </w:r>
          </w:p>
          <w:p w:rsidR="00D2170C" w:rsidRDefault="00D2170C">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p>
          <w:p w:rsidR="00D2170C" w:rsidRDefault="00D2170C">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p>
          <w:p w:rsidR="000E440E" w:rsidRDefault="00DF78CF">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Генеральный директор </w:t>
            </w:r>
          </w:p>
          <w:p w:rsidR="00DF78CF" w:rsidRDefault="00DF78CF">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p>
          <w:p w:rsidR="00DF78CF" w:rsidRDefault="00DF78CF" w:rsidP="00DF78CF">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0E440E" w:rsidRDefault="000E440E">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p>
          <w:p w:rsidR="00D2170C" w:rsidRDefault="00D2170C">
            <w:pPr>
              <w:widowControl w:val="0"/>
              <w:autoSpaceDE w:val="0"/>
              <w:autoSpaceDN w:val="0"/>
              <w:adjustRightInd w:val="0"/>
              <w:spacing w:after="0" w:line="240" w:lineRule="auto"/>
              <w:ind w:left="4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________________</w:t>
            </w:r>
            <w:r w:rsidR="000E440E">
              <w:rPr>
                <w:rFonts w:ascii="Times New Roman CYR" w:hAnsi="Times New Roman CYR" w:cs="Times New Roman CYR"/>
                <w:b/>
                <w:bCs/>
                <w:color w:val="000000"/>
                <w:sz w:val="20"/>
                <w:szCs w:val="20"/>
              </w:rPr>
              <w:t>________________</w:t>
            </w:r>
            <w:r w:rsidR="00DF78CF">
              <w:rPr>
                <w:rFonts w:ascii="Times New Roman CYR" w:hAnsi="Times New Roman CYR" w:cs="Times New Roman CYR"/>
                <w:b/>
                <w:bCs/>
                <w:color w:val="000000"/>
                <w:sz w:val="20"/>
                <w:szCs w:val="20"/>
              </w:rPr>
              <w:t xml:space="preserve">  /           </w:t>
            </w:r>
            <w:bookmarkStart w:id="0" w:name="_GoBack"/>
            <w:bookmarkEnd w:id="0"/>
            <w:r>
              <w:rPr>
                <w:rFonts w:ascii="Times New Roman CYR" w:hAnsi="Times New Roman CYR" w:cs="Times New Roman CYR"/>
                <w:b/>
                <w:bCs/>
                <w:color w:val="000000"/>
                <w:sz w:val="20"/>
                <w:szCs w:val="20"/>
              </w:rPr>
              <w:t>/</w:t>
            </w:r>
          </w:p>
          <w:p w:rsidR="00D2170C" w:rsidRDefault="00D2170C">
            <w:pPr>
              <w:widowControl w:val="0"/>
              <w:autoSpaceDE w:val="0"/>
              <w:autoSpaceDN w:val="0"/>
              <w:adjustRightInd w:val="0"/>
              <w:spacing w:after="0" w:line="240" w:lineRule="auto"/>
              <w:rPr>
                <w:rFonts w:ascii="Times New Roman" w:hAnsi="Times New Roman"/>
                <w:color w:val="000000"/>
                <w:sz w:val="20"/>
                <w:szCs w:val="20"/>
              </w:rPr>
            </w:pPr>
          </w:p>
        </w:tc>
        <w:tc>
          <w:tcPr>
            <w:tcW w:w="373" w:type="dxa"/>
            <w:tcBorders>
              <w:top w:val="nil"/>
              <w:left w:val="nil"/>
              <w:bottom w:val="nil"/>
              <w:right w:val="nil"/>
            </w:tcBorders>
          </w:tcPr>
          <w:p w:rsidR="00D2170C" w:rsidRDefault="00D2170C">
            <w:pPr>
              <w:widowControl w:val="0"/>
              <w:autoSpaceDE w:val="0"/>
              <w:autoSpaceDN w:val="0"/>
              <w:adjustRightInd w:val="0"/>
              <w:spacing w:after="0" w:line="240" w:lineRule="auto"/>
              <w:rPr>
                <w:rFonts w:ascii="MS Sans Serif" w:hAnsi="MS Sans Serif" w:cs="MS Sans Serif"/>
                <w:color w:val="000000"/>
                <w:sz w:val="16"/>
                <w:szCs w:val="16"/>
              </w:rPr>
            </w:pPr>
          </w:p>
        </w:tc>
        <w:tc>
          <w:tcPr>
            <w:tcW w:w="5031" w:type="dxa"/>
            <w:gridSpan w:val="2"/>
            <w:tcBorders>
              <w:top w:val="nil"/>
              <w:left w:val="nil"/>
              <w:bottom w:val="nil"/>
              <w:right w:val="nil"/>
            </w:tcBorders>
          </w:tcPr>
          <w:p w:rsidR="00D2170C" w:rsidRDefault="00D2170C">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ПОКУПАТЕЛЬ:</w:t>
            </w:r>
          </w:p>
          <w:p w:rsidR="000E440E" w:rsidRDefault="000E440E">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6C0648" w:rsidRDefault="006C0648">
            <w:pPr>
              <w:widowControl w:val="0"/>
              <w:autoSpaceDE w:val="0"/>
              <w:autoSpaceDN w:val="0"/>
              <w:adjustRightInd w:val="0"/>
              <w:spacing w:after="0" w:line="240" w:lineRule="auto"/>
              <w:jc w:val="both"/>
              <w:rPr>
                <w:rFonts w:ascii="Times New Roman" w:hAnsi="Times New Roman"/>
                <w:b/>
                <w:bCs/>
                <w:color w:val="000000"/>
                <w:sz w:val="20"/>
                <w:szCs w:val="20"/>
              </w:rPr>
            </w:pPr>
          </w:p>
          <w:p w:rsidR="000E440E" w:rsidRDefault="000E440E">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0E440E" w:rsidRDefault="000E440E">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0E440E" w:rsidRDefault="000E440E">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0E440E" w:rsidRDefault="000E440E">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0E440E" w:rsidRDefault="000E440E">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D2170C" w:rsidRDefault="00D2170C">
            <w:pPr>
              <w:widowControl w:val="0"/>
              <w:autoSpaceDE w:val="0"/>
              <w:autoSpaceDN w:val="0"/>
              <w:adjustRightInd w:val="0"/>
              <w:spacing w:after="0" w:line="240" w:lineRule="auto"/>
              <w:jc w:val="both"/>
              <w:rPr>
                <w:rFonts w:ascii="Arial CYR" w:hAnsi="Arial CYR" w:cs="Arial CYR"/>
                <w:b/>
                <w:bCs/>
                <w:color w:val="000000"/>
                <w:sz w:val="20"/>
                <w:szCs w:val="20"/>
              </w:rPr>
            </w:pPr>
            <w:r>
              <w:rPr>
                <w:rFonts w:ascii="Times New Roman CYR" w:hAnsi="Times New Roman CYR" w:cs="Times New Roman CYR"/>
                <w:b/>
                <w:bCs/>
                <w:color w:val="000000"/>
                <w:sz w:val="20"/>
                <w:szCs w:val="20"/>
              </w:rPr>
              <w:t>______________</w:t>
            </w:r>
            <w:r w:rsidR="000E440E">
              <w:rPr>
                <w:rFonts w:ascii="Times New Roman CYR" w:hAnsi="Times New Roman CYR" w:cs="Times New Roman CYR"/>
                <w:b/>
                <w:bCs/>
                <w:color w:val="000000"/>
                <w:sz w:val="20"/>
                <w:szCs w:val="20"/>
              </w:rPr>
              <w:t xml:space="preserve">__________________ </w:t>
            </w:r>
            <w:r w:rsidR="006C0648">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w:t>
            </w:r>
            <w:r>
              <w:rPr>
                <w:rFonts w:ascii="Times New Roman" w:hAnsi="Times New Roman"/>
                <w:b/>
                <w:bCs/>
                <w:color w:val="000000"/>
                <w:sz w:val="20"/>
                <w:szCs w:val="20"/>
                <w:lang w:val="en-US"/>
              </w:rPr>
              <w:t xml:space="preserve"> </w:t>
            </w:r>
          </w:p>
          <w:p w:rsidR="00D2170C" w:rsidRDefault="00D2170C">
            <w:pPr>
              <w:widowControl w:val="0"/>
              <w:autoSpaceDE w:val="0"/>
              <w:autoSpaceDN w:val="0"/>
              <w:adjustRightInd w:val="0"/>
              <w:spacing w:after="0" w:line="240" w:lineRule="auto"/>
              <w:rPr>
                <w:rFonts w:ascii="Times New Roman" w:hAnsi="Times New Roman"/>
                <w:color w:val="000000"/>
                <w:sz w:val="20"/>
                <w:szCs w:val="20"/>
              </w:rPr>
            </w:pPr>
          </w:p>
        </w:tc>
      </w:tr>
    </w:tbl>
    <w:p w:rsidR="00D2170C" w:rsidRDefault="00D2170C"/>
    <w:sectPr w:rsidR="00D2170C">
      <w:pgSz w:w="11926" w:h="16867"/>
      <w:pgMar w:top="282" w:right="282" w:bottom="282" w:left="11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0E"/>
    <w:rsid w:val="000E440E"/>
    <w:rsid w:val="006C0648"/>
    <w:rsid w:val="00D2170C"/>
    <w:rsid w:val="00D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E4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E4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market-alesya</cp:lastModifiedBy>
  <cp:revision>3</cp:revision>
  <cp:lastPrinted>2022-04-25T12:36:00Z</cp:lastPrinted>
  <dcterms:created xsi:type="dcterms:W3CDTF">2022-04-28T06:32:00Z</dcterms:created>
  <dcterms:modified xsi:type="dcterms:W3CDTF">2022-10-04T10:16:00Z</dcterms:modified>
</cp:coreProperties>
</file>